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right"/>
        <w:rPr>
          <w:rFonts w:ascii="Verdana" w:hAnsi="Verdana" w:cs="Verdana" w:eastAsia="Verdana"/>
          <w:b/>
          <w:color w:val="000000"/>
          <w:spacing w:val="0"/>
          <w:position w:val="0"/>
          <w:sz w:val="32"/>
          <w:shd w:fill="FFFFFF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32"/>
          <w:shd w:fill="FFFFFF" w:val="clear"/>
        </w:rPr>
        <w:t xml:space="preserve">Komunikat prasowy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u w:val="single"/>
          <w:shd w:fill="auto" w:val="clear"/>
        </w:rPr>
        <w:t xml:space="preserve">Kolejny krok w kierunku elektryfikacji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36"/>
          <w:shd w:fill="auto" w:val="clear"/>
        </w:rPr>
        <w:t xml:space="preserve">John Deere wprowadza elektryfikacj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36"/>
          <w:shd w:fill="auto" w:val="clear"/>
        </w:rPr>
        <w:t xml:space="preserve">ę i łączność do maszyn golfowych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Wprowadzaj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ąc elektryfikację i łączność do swoich maszyn golfowych, John Deere umożliwia swoim klientom bardziej ekologiczne i zr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żone korzystanie z tych maszyn 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tak samo wydajnych, jak dotychczas.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Nowa seria modeli ca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łkowicie elektrycznych i hybrydowych John Deere E-Cut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oznacza brak zużywania paliwa i oleju silnikowego, a elementem wyposażenia standardowego w całej gamie maszyn golfowych są teraz funkcje łączności.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Nowe w pe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łni elektryczne kosiarki pchane do green 185 E-Cut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2"/>
          <w:shd w:fill="auto" w:val="clear"/>
        </w:rPr>
        <w:t xml:space="preserve"> i 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225 E-Cut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  <w:vertAlign w:val="superscript"/>
        </w:rPr>
        <w:t xml:space="preserve">TM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Dzi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ęki niemal bezgłośnej pracy kosiarki pchanej do green John Deere E-Cut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można używać w bardziej elastycznym przedziale czasu; wcześnie rano lub p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źnym wieczorem. Brak zużycia paliwa i oleju silnikowego. Jednym z kluczowych element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 elektryfikacji jest niezawodny akumulator. Kosiarki pchane do green John Deere E-Cut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mog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ą skosić około 4650 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² terenu na jednym 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ładowaniu dzięki 58-voltowemu akumulatorowi litowemu o pojemności 3,2 kWh. 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Obie maszyny wyposa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żono w zaawansowany wyświetlacz TechControl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, pozwalający kierownikom wybrać częstotliwość cięcia w oparciu o prędkość bębna i jazdy. Dodatkowo mają one 10 ustawień wysokości kierownicy i jej regulację do przodu/do tyłu, jak też wyjątkowy tryb Cleanup Pass. Wszystko to zapewnia maksymalny komfort i łatwość obsługi i skręcania. Model 185 E-Cut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ma szerokość cięcia 46 cm, natomiast większy 225 E-Cut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tnie na szerokość 56 cm.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Nowe hybrydowe kosiarki do fairway 6700A E-Cut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 i 7700A E-Cut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  <w:vertAlign w:val="superscript"/>
        </w:rPr>
        <w:t xml:space="preserve">TM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Nowe elektryczne wrzeciona kosiarek hybrydowych do fairway John Deere to oszcz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ędność do 30% paliwa i cichsza praca bez obniżania wydajności. Rozszerzają one nasz asortyment produkt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 i oferuj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ą bardziej przyjazny dla środowiska spos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ób pracy. 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Dzi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ęki wyeliminowaniu ponad 150 punkt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 wycieku p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łynu hydraulicznego, ryzyko jego wydostania się zostało zmniejszone o 90%. Koszenie w trudnych warunkach lub wertykulacja mogą być wykonywane bez problem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ów. Funkcja LoadMatch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 zwalnia pr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ędkość maszyny w przypadku napotkania wysokiego obciążenia silnika, utrzymując prędkość bębn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ów tn</w:t>
      </w:r>
      <w:r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  <w:t xml:space="preserve">ących i nadając priorytet jakości. 6700A E-Cut to 3-kołowa hybrydowa kosiarka do fairway, zapewniająca wyjątkową zwrotność w ciasnych zakrętach.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22"/>
          <w:shd w:fill="auto" w:val="clear"/>
        </w:rPr>
        <w:t xml:space="preserve">Łączność w standardzie w maszynach golfowych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Od wielu 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lat firma John Deere 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jest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 liderem w dziedzinie łączności w maszynach rolniczych, ale teraz z tych zalet oraz z usługi John Deere Operations Center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  <w:vertAlign w:val="superscript"/>
        </w:rPr>
        <w:t xml:space="preserve">TM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 może skorzystać także sektor golfowy. W 2023 roku John Deere wprowadzi łączność jako standard w wielu maszynach golfowych. Służy ona jako narzędzie do zarządzania całą flotą i oferuje opcję lokalnej historii z dokładną dokumentacją wykorzystania maszyny, poziomu paliwa i diagnostycznych kod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ów b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ów. Dodatkowo istnieje mo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żliwość ustawienia obszar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ów pracy i czasu braku aktywno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ści. Obie te funkcje powiadamiają użytkownika o przypadkach podejrzanego użycia i tym samym zwiększają ochronę przed kradzieżą. Oprogramowanie to jest dostępne bezpłatne jako aplikacja mobilna oraz w wersji przeglądarkowej.</w:t>
      </w: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</w:pP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Dzi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ęki nowym maszynom golfowym firma John Deere przeciera szlaki w dziedzinie łączności. Najnowsze technologie i dobrze znana niezawodność sprzętu John Deere będą w przyszłości coraz bardziej zwiększać wydajność i jakość pracy ich użytkownik</w:t>
      </w:r>
      <w:r>
        <w:rPr>
          <w:rFonts w:ascii="Verdana" w:hAnsi="Verdana" w:cs="Verdana" w:eastAsia="Verdana"/>
          <w:color w:val="000000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100" w:after="100" w:line="240"/>
        <w:ind w:right="0" w:left="0" w:firstLine="0"/>
        <w:jc w:val="both"/>
        <w:rPr>
          <w:rFonts w:ascii="Verdana" w:hAnsi="Verdana" w:cs="Verdana" w:eastAsia="Verdana"/>
          <w:b/>
          <w:color w:val="000000"/>
          <w:spacing w:val="0"/>
          <w:position w:val="0"/>
          <w:sz w:val="32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